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 w:cs="楷体"/>
          <w:b/>
          <w:bCs/>
          <w:sz w:val="72"/>
          <w:szCs w:val="72"/>
        </w:rPr>
      </w:pPr>
    </w:p>
    <w:p>
      <w:pPr>
        <w:jc w:val="center"/>
        <w:rPr>
          <w:rFonts w:hint="eastAsia" w:ascii="楷体" w:hAnsi="楷体" w:eastAsia="楷体" w:cs="楷体"/>
          <w:b/>
          <w:bCs/>
          <w:sz w:val="40"/>
          <w:szCs w:val="40"/>
        </w:rPr>
      </w:pPr>
      <w:r>
        <w:rPr>
          <w:rFonts w:hint="eastAsia" w:ascii="楷体" w:hAnsi="楷体" w:eastAsia="楷体" w:cs="楷体"/>
          <w:b/>
          <w:bCs/>
          <w:sz w:val="40"/>
          <w:szCs w:val="40"/>
        </w:rPr>
        <w:t>吉首大学法学与公共管理学院</w:t>
      </w:r>
    </w:p>
    <w:p>
      <w:pPr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长沙天心区拓曦育才教育扶贫基金</w:t>
      </w:r>
    </w:p>
    <w:p>
      <w:pPr>
        <w:jc w:val="center"/>
        <w:rPr>
          <w:rFonts w:hint="eastAsia" w:ascii="楷体" w:hAnsi="楷体" w:eastAsia="楷体" w:cs="楷体"/>
          <w:sz w:val="40"/>
          <w:szCs w:val="48"/>
          <w:lang w:eastAsia="zh-CN"/>
        </w:rPr>
      </w:pPr>
      <w:r>
        <w:rPr>
          <w:rFonts w:hint="eastAsia" w:ascii="楷体" w:hAnsi="楷体" w:eastAsia="楷体" w:cs="楷体"/>
          <w:sz w:val="40"/>
          <w:szCs w:val="48"/>
          <w:lang w:eastAsia="zh-CN"/>
        </w:rPr>
        <w:t>（试行）</w:t>
      </w:r>
    </w:p>
    <w:p>
      <w:pPr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</w:p>
    <w:p>
      <w:pPr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</w:p>
    <w:p>
      <w:pPr>
        <w:jc w:val="center"/>
        <w:rPr>
          <w:rFonts w:hint="eastAsia" w:ascii="楷体" w:hAnsi="楷体" w:eastAsia="楷体" w:cs="楷体"/>
          <w:b/>
          <w:bCs/>
          <w:sz w:val="56"/>
          <w:szCs w:val="56"/>
          <w:lang w:eastAsia="zh-CN"/>
        </w:rPr>
      </w:pPr>
      <w:r>
        <w:rPr>
          <w:rFonts w:hint="eastAsia" w:ascii="楷体" w:hAnsi="楷体" w:eastAsia="楷体" w:cs="楷体"/>
          <w:b/>
          <w:bCs/>
          <w:sz w:val="56"/>
          <w:szCs w:val="56"/>
          <w:lang w:eastAsia="zh-CN"/>
        </w:rPr>
        <w:t>实</w:t>
      </w:r>
    </w:p>
    <w:p>
      <w:pPr>
        <w:jc w:val="center"/>
        <w:rPr>
          <w:rFonts w:hint="eastAsia" w:ascii="楷体" w:hAnsi="楷体" w:eastAsia="楷体" w:cs="楷体"/>
          <w:b/>
          <w:bCs/>
          <w:sz w:val="56"/>
          <w:szCs w:val="56"/>
          <w:lang w:eastAsia="zh-CN"/>
        </w:rPr>
      </w:pPr>
      <w:r>
        <w:rPr>
          <w:rFonts w:hint="eastAsia" w:ascii="楷体" w:hAnsi="楷体" w:eastAsia="楷体" w:cs="楷体"/>
          <w:b/>
          <w:bCs/>
          <w:sz w:val="56"/>
          <w:szCs w:val="56"/>
          <w:lang w:eastAsia="zh-CN"/>
        </w:rPr>
        <w:t>施</w:t>
      </w:r>
    </w:p>
    <w:p>
      <w:pPr>
        <w:jc w:val="center"/>
        <w:rPr>
          <w:rFonts w:hint="eastAsia" w:ascii="楷体" w:hAnsi="楷体" w:eastAsia="楷体" w:cs="楷体"/>
          <w:b/>
          <w:bCs/>
          <w:sz w:val="56"/>
          <w:szCs w:val="56"/>
          <w:lang w:eastAsia="zh-CN"/>
        </w:rPr>
      </w:pPr>
      <w:r>
        <w:rPr>
          <w:rFonts w:hint="eastAsia" w:ascii="楷体" w:hAnsi="楷体" w:eastAsia="楷体" w:cs="楷体"/>
          <w:b/>
          <w:bCs/>
          <w:sz w:val="56"/>
          <w:szCs w:val="56"/>
          <w:lang w:eastAsia="zh-CN"/>
        </w:rPr>
        <w:t>细</w:t>
      </w:r>
    </w:p>
    <w:p>
      <w:pPr>
        <w:jc w:val="center"/>
        <w:rPr>
          <w:rFonts w:hint="eastAsia" w:ascii="楷体" w:hAnsi="楷体" w:eastAsia="楷体" w:cs="楷体"/>
          <w:b/>
          <w:bCs/>
          <w:sz w:val="56"/>
          <w:szCs w:val="56"/>
          <w:lang w:eastAsia="zh-CN"/>
        </w:rPr>
      </w:pPr>
      <w:r>
        <w:rPr>
          <w:rFonts w:hint="eastAsia" w:ascii="楷体" w:hAnsi="楷体" w:eastAsia="楷体" w:cs="楷体"/>
          <w:b/>
          <w:bCs/>
          <w:sz w:val="56"/>
          <w:szCs w:val="56"/>
          <w:lang w:eastAsia="zh-CN"/>
        </w:rPr>
        <w:t>则</w:t>
      </w:r>
    </w:p>
    <w:p>
      <w:pPr>
        <w:jc w:val="center"/>
        <w:rPr>
          <w:rFonts w:hint="eastAsia" w:ascii="楷体" w:hAnsi="楷体" w:eastAsia="楷体" w:cs="楷体"/>
          <w:b/>
          <w:bCs/>
          <w:sz w:val="56"/>
          <w:szCs w:val="56"/>
          <w:lang w:eastAsia="zh-CN"/>
        </w:rPr>
      </w:pPr>
    </w:p>
    <w:p>
      <w:pPr>
        <w:rPr>
          <w:rFonts w:ascii="楷体" w:hAnsi="楷体" w:eastAsia="楷体" w:cs="楷体"/>
          <w:sz w:val="40"/>
          <w:szCs w:val="48"/>
        </w:rPr>
      </w:pPr>
    </w:p>
    <w:p>
      <w:pPr>
        <w:rPr>
          <w:rFonts w:ascii="楷体" w:hAnsi="楷体" w:eastAsia="楷体" w:cs="楷体"/>
          <w:sz w:val="40"/>
          <w:szCs w:val="48"/>
        </w:rPr>
      </w:pPr>
    </w:p>
    <w:p>
      <w:pPr>
        <w:rPr>
          <w:rFonts w:ascii="楷体" w:hAnsi="楷体" w:eastAsia="楷体" w:cs="楷体"/>
          <w:sz w:val="40"/>
          <w:szCs w:val="48"/>
        </w:rPr>
      </w:pPr>
    </w:p>
    <w:p>
      <w:pPr>
        <w:rPr>
          <w:rFonts w:ascii="楷体" w:hAnsi="楷体" w:eastAsia="楷体" w:cs="楷体"/>
          <w:sz w:val="40"/>
          <w:szCs w:val="48"/>
        </w:rPr>
      </w:pPr>
    </w:p>
    <w:p>
      <w:pPr>
        <w:rPr>
          <w:rFonts w:ascii="楷体" w:hAnsi="楷体" w:eastAsia="楷体" w:cs="楷体"/>
          <w:sz w:val="40"/>
          <w:szCs w:val="48"/>
        </w:rPr>
      </w:pPr>
    </w:p>
    <w:p>
      <w:pPr>
        <w:jc w:val="center"/>
        <w:rPr>
          <w:rFonts w:hint="eastAsia" w:ascii="楷体" w:hAnsi="楷体" w:eastAsia="楷体" w:cs="楷体"/>
          <w:b/>
          <w:bCs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201</w:t>
      </w: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9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年</w:t>
      </w: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6月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color w:val="000000"/>
          <w:sz w:val="24"/>
          <w:szCs w:val="24"/>
          <w:lang w:eastAsia="zh-CN"/>
        </w:rPr>
        <w:t>一、总则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第一条 为帮助家境贫困的在校大学生解决学习、生活等方面困难，激励贫困学生勤奋好学，全面成才，结合实际，特制订本办法。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/>
        <w:jc w:val="left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第二条“长沙天心区拓曦育才教育扶贫基金”由吉首大学2007级校友，长沙天心区委宣传部徐拓引资，为帮助吉首大学法学与公共管理学院家境贫困、品学兼优的在校大学解决困难，帮助大学生全面成长与成才的专项基金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/>
          <w:color w:val="000000"/>
          <w:sz w:val="24"/>
          <w:szCs w:val="24"/>
          <w:lang w:eastAsia="zh-CN"/>
        </w:rPr>
        <w:t>评选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法学与公共管理学院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在校家庭经济困难本科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学生；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研究生（研究生仅限</w:t>
      </w:r>
      <w:r>
        <w:rPr>
          <w:rFonts w:hint="eastAsia" w:ascii="楷体" w:hAnsi="楷体" w:eastAsia="楷体" w:cs="楷体"/>
          <w:sz w:val="24"/>
          <w:szCs w:val="24"/>
        </w:rPr>
        <w:t>湘西自治州龙山县洛塔乡、浏阳市张坊镇富溪村、怀化市通道县生源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可申请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评选类别及奖励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（一）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榜样称号评选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评选活动旨在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贫困学生中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寻找在某些方面具有突出事迹或成就的身边榜样，起到全民学习、全民鼓励、全民争当榜样的引领作用。本次评选类别结合我院院训：厚德博学、求实创新。设立“厚德之星”、“博学之星”、“求实之星”、“创新之星”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四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个榜样称号。每年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每个类别择优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评选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1-2人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，给予荣誉证书和奖金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2500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元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/人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，没有符合要求则不评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二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）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困难补助申请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困难补助主要为就业困难、生活困难、大病医疗补助、勤工助学补助和其他特殊情况等方面困难的同学提出书面申请，评审小组核定实际情况后予以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500-1000元不等的资助，每生一年最多申请一次，根据需求申报，不限定具体时间。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/>
        <w:jc w:val="left"/>
        <w:textAlignment w:val="auto"/>
        <w:rPr>
          <w:rFonts w:hint="default" w:ascii="楷体" w:hAnsi="楷体" w:eastAsia="楷体" w:cs="楷体"/>
          <w:bCs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评选条件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（一）基本条件：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1、热爱祖国，拥护党的领导，思想政治上积极要求进步，具有坚定正确的政治立场及科学的人生观、世界观和价值观。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家庭经济困难并进入吉首大学家庭经济困难学生信息库。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640" w:firstLineChars="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、遵纪守法，团结同学，尊敬师长，关爱集体。在同学中具有较大影响，无警告、处分等通告。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、学习刻苦，自强不息，必修课程无重修现象。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5、各项有多人参评按照积分排名评选。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6、</w:t>
      </w:r>
      <w:r>
        <w:rPr>
          <w:rFonts w:hint="eastAsia" w:ascii="楷体" w:hAnsi="楷体" w:eastAsia="楷体" w:cs="楷体"/>
          <w:sz w:val="24"/>
          <w:szCs w:val="24"/>
        </w:rPr>
        <w:t>湘西自治州龙山县洛塔乡、浏阳市张坊镇富溪村、怀化市通道县生源学生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按照《吉首大学“长沙天心区拓曦育才教育扶贫基金”使用管理办法》文件进行定向资助，可不满足基本条件第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项，但必须满足基本条件第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1、3项。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 xml:space="preserve">  （二）具体条件：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1、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厚德之星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具有具有中华民族艰苦奋斗的优良传统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良好的公德意识，强烈的责任意识、热情的公益意识。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对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身处逆境却有积极乐观的心态，对待生活、学习有坚忍不拔的意志和百折不挠的拼搏精神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者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，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表现出自立自强的品德，或在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助人为乐、见义勇为、献血奉献、诚实守信、孝老爱亲、文明礼仪推广等方面事迹突出。其先进事迹获得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学院、学校、州（市）级以上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传媒宣传报道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或荣誉称号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可优先评选。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）在促进民族团结进步方面有突出贡献者，或在少数民族学生中发挥先锋模范作用。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注：厚德之星申请需满足以上其中一个条件即可。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 xml:space="preserve">    2、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博学之星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：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勤奋好学，具有较强的科研精神，在学科专业领域有良好造诣，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且在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校期间获得过优秀学生奖学金，且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满足以下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条件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：主持省级及以上课题1项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且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以独著或第一作者身份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（指导老师除外）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在省级期刊发表论文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篇以上；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highlight w:val="none"/>
        </w:rPr>
        <w:t>独著或以主编身份出版专著 1 本及以上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3、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求实之星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：具有优秀的组织和管理能力，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积极参与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或组织过学校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学院的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各项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重大活动，具有较强的实践能力，在学生中有一定的影响力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成果突出。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highlight w:val="yellow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4、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创新</w:t>
      </w:r>
      <w:r>
        <w:rPr>
          <w:rFonts w:hint="eastAsia" w:ascii="楷体" w:hAnsi="楷体" w:eastAsia="楷体" w:cs="楷体"/>
          <w:b/>
          <w:color w:val="000000"/>
          <w:sz w:val="24"/>
          <w:szCs w:val="24"/>
          <w:lang w:eastAsia="zh-CN"/>
        </w:rPr>
        <w:t>创业</w:t>
      </w:r>
      <w:r>
        <w:rPr>
          <w:rFonts w:hint="eastAsia" w:ascii="楷体" w:hAnsi="楷体" w:eastAsia="楷体" w:cs="楷体"/>
          <w:b/>
          <w:color w:val="000000"/>
          <w:sz w:val="24"/>
          <w:szCs w:val="24"/>
        </w:rPr>
        <w:t>之星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：具有强烈的创新意识和创业能力，勇于投身创业实践，在青年学生中具有较强的代表性和示范带动作用，创新创业行为取得阶段性成绩，有一定的社会影响，以创业促就业，在创新性和市场潜力等方面实绩突出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，或组织团队参加“互联网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+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”创新创业大赛、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“挑战杯”课外学术科技作品竞赛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、“创青春”创业大赛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中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获得省级以上奖励。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  <w:lang w:eastAsia="zh-CN"/>
        </w:rPr>
        <w:t>计分办法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综合分数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由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基础分（家庭经济困难程度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+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思想品德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）与单项加分项两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个部分组成。</w:t>
      </w: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（一）基础分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基础分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=80分+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家庭经济困难程度计分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+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思想品德得分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1、</w:t>
      </w:r>
      <w:r>
        <w:rPr>
          <w:rFonts w:hint="eastAsia" w:ascii="楷体" w:hAnsi="楷体" w:eastAsia="楷体" w:cs="楷体"/>
          <w:b/>
          <w:sz w:val="24"/>
          <w:szCs w:val="24"/>
          <w:lang w:eastAsia="zh-CN"/>
        </w:rPr>
        <w:t>家庭经济困难程度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根据家庭经济困难学生信息库分类：特别困难、困难、一般困难三个等级，依次按10、8、6分计算（湘西自治州龙山县洛塔乡、浏阳市张坊镇富溪村、怀化市通道县生源学生按10分计算）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2、</w:t>
      </w:r>
      <w:r>
        <w:rPr>
          <w:rFonts w:hint="eastAsia" w:ascii="楷体" w:hAnsi="楷体" w:eastAsia="楷体" w:cs="楷体"/>
          <w:b/>
          <w:sz w:val="24"/>
          <w:szCs w:val="24"/>
          <w:lang w:eastAsia="zh-CN"/>
        </w:rPr>
        <w:t>思想品德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参照《吉首大学本专科学生综合素质测评办法》第二章思想品德加减分。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4"/>
          <w:szCs w:val="24"/>
          <w:lang w:eastAsia="zh-CN"/>
        </w:rPr>
        <w:t>减分项：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1、旷课每人每学时扣2分（一节课为一学时）；单次请假不扣分，请假累计3次计旷课1次，扣2分；迟到、早退累计3次计旷课1次，扣2分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2、被学校通报“不文明寝室”一次，寝室成员扣2分，寝室长扣3分；被学院通报“不文明寝室”一次，寝室成员扣1分，寝室长扣2分（以每周公布的考勤为准）。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3、无故夜不归宿者，每人次扣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分；晚归1次，扣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分，累计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次计旷寝按夜不归宿处理（查寝后至23点以前归寝者）。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4、无故不参加学校、学院或班级组织的集会、讲座等集体活动，每人次扣2分；迟到或早退，每人次扣1分。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5、其他受学校通报批评一次减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10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分，受院通报批评一次减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分。通报批评包括以下情形：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878" w:firstLineChars="366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(1)、不讲诚信，无故不交清学费者。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878" w:firstLineChars="366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(2)、拒不执行上级指示、决定者。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878" w:firstLineChars="366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(3)、损害学校和法管学院的声誉者。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878" w:firstLineChars="366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(4)、违反《吉首大学学生手册》相关规定条例者。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6、有高消费行为、或不良贷款记录者扣10分。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  <w:t>注：受到学校警告处分以上者，取消参评资格。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4"/>
          <w:szCs w:val="24"/>
          <w:lang w:eastAsia="zh-CN"/>
        </w:rPr>
        <w:t>三、单项加分项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  <w:t>第一条  厚德之星加分项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1、凡获国家级荣誉称号的加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10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2、凡获省级荣誉称号的加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8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3、凡获州、市级荣誉称号的加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4、凡获校级荣誉称号或表彰的加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5、凡获院级荣誉称号的加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6、凡在院校参与组织活动获表彰的、受院校通报表扬的加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 w:ascii="楷体" w:hAnsi="楷体" w:eastAsia="楷体" w:cs="楷体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7、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val="en-US" w:eastAsia="zh-CN"/>
        </w:rPr>
        <w:t>先进事迹在国家级、省级、州（市）级媒体报道依次按7、5、3分计。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 w:ascii="楷体" w:hAnsi="楷体" w:eastAsia="楷体" w:cs="楷体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val="en-US" w:eastAsia="zh-CN"/>
        </w:rPr>
        <w:t>8、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若事迹突出，没有获评过荣誉称号或报道的，经审查属实可酌情加分</w:t>
      </w:r>
      <w:r>
        <w:rPr>
          <w:rFonts w:hint="eastAsia" w:ascii="楷体" w:hAnsi="楷体" w:eastAsia="楷体" w:cs="楷体"/>
          <w:kern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 w:ascii="楷体" w:hAnsi="楷体" w:eastAsia="楷体" w:cs="楷体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楷体" w:hAnsi="楷体" w:eastAsia="楷体" w:cs="楷体"/>
          <w:kern w:val="0"/>
          <w:sz w:val="24"/>
          <w:szCs w:val="24"/>
          <w:highlight w:val="yellow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  <w:t>第二条  博学之星加分项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1、专业论文。以第一作者身份（指导老师除外）在核心期刊、国家级期刊、省级期刊上发表专业论文的每篇加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15、10、8分，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在学校等其他内部刊物发表论文的加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分。论文参加评选获得特等奖、一、二、三等奖、优胜奖，分别按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5、4、3、2、1分计。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课题。主持国家级、省部级、州（市）级、校级课题立项，分别加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20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15、10、8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分。研究会课题按所属级别降一级加分。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3、以独著形式出版著作、发明专利一项加15分。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  <w:t>第三条  求实之星加分项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学科竞赛活动获奖的加分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）凡参加国家级有关竞赛获奖者，一等奖加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分，依次递减2分，优胜奖加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9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）凡参加省级有关竞赛获奖者，一等奖加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10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分，依次递减2分，优胜奖加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）凡参加市、州级有关竞赛获奖者，一等奖加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8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分，依次递减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分，优胜奖加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）凡参加校级有关竞赛获奖者，一等奖加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分，依次递减1分，优胜奖加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）凡参加院级有关竞赛获奖者，一等奖加4分，依次递减1分，优胜奖加1分。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、凡在文娱、体育等其他非学科领域竞赛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）参加国家级竞赛获奖者，一等奖加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12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分，依次递减2分，优胜奖加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）凡参加省级有关竞赛获奖者，一等奖加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9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分，依次递减2分，优胜奖加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）凡参加市、州级有关竞赛获奖者，一等奖加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7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分，依次递减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分，优胜奖加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）凡参加校级有关竞赛获奖者，一等奖加6分，依次递减1分，优胜奖加4分。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）凡参加院级有关竞赛获奖者，一等奖加4分，依次递减1分，优胜奖加1分。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担任院（校）级主要学生干部（部长及以上职务）加15分，部长以下加6分，干事加3分；担任班长、团支书加6分，其他班委加3分。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组织参加社会实践项目评选，获得国家级、省级奖项的加25、15分，项目团队前三名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分别按100%、80%和60%的比例计算，排名第四以后的均按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30%计算）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同一活动项目只加一次分，就高不就低，职务只加一次，就高不就低。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同一活动项目只加一次分，就高不就低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 w:val="0"/>
          <w:color w:val="000000"/>
          <w:sz w:val="24"/>
          <w:szCs w:val="24"/>
          <w:lang w:eastAsia="zh-CN"/>
        </w:rPr>
        <w:t>第四条 创新之星加分项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1、组队参加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“互联网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+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”创新创业大赛、</w:t>
      </w:r>
      <w:r>
        <w:rPr>
          <w:rFonts w:hint="eastAsia" w:ascii="楷体" w:hAnsi="楷体" w:eastAsia="楷体" w:cs="楷体"/>
          <w:bCs/>
          <w:color w:val="000000"/>
          <w:sz w:val="24"/>
          <w:szCs w:val="24"/>
        </w:rPr>
        <w:t>“挑战杯”课外学术科技作品竞赛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、“创青春”创新创业大赛获得国家一、二、三等奖分别加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20、17、15分，获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省级一二三等奖分别加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15、12、10分，获校级一二三等奖分别加10、9、8分，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（仅限前五名的成员，第一负责人按分值100%计算、其余队员按分值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0%比例计算）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2、创办公司企业注册资本100万以上加20分，注册资本50-100万加15分，注册资本20-50万加12分,注册资本20万以下加10分,未注册的创业团队加8分（以公司财务流水为依据），所有以团队形式创业的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（仅限前五名的成员，第一负责人按分值100%计算、其余队员按分值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0%比例计算）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同一项目获奖只加一次分，就高不就低。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right"/>
        <w:textAlignment w:val="auto"/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eastAsia="zh-CN"/>
        </w:rPr>
        <w:t>法学与公共管理学院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right"/>
        <w:textAlignment w:val="auto"/>
        <w:rPr>
          <w:rFonts w:hint="default" w:ascii="楷体" w:hAnsi="楷体" w:eastAsia="楷体" w:cs="楷体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4"/>
          <w:szCs w:val="24"/>
          <w:lang w:val="en-US" w:eastAsia="zh-CN"/>
        </w:rPr>
        <w:t>2019年6月</w:t>
      </w:r>
    </w:p>
    <w:p>
      <w:pPr>
        <w:ind w:firstLine="560"/>
        <w:jc w:val="left"/>
        <w:rPr>
          <w:rFonts w:hint="eastAsia" w:ascii="楷体" w:hAnsi="楷体" w:eastAsia="楷体" w:cs="楷体"/>
          <w:sz w:val="24"/>
          <w:szCs w:val="24"/>
          <w:shd w:val="clear" w:color="auto" w:fill="FFFFFF"/>
        </w:rPr>
      </w:pPr>
      <w:r>
        <w:rPr>
          <w:rFonts w:hint="eastAsia" w:ascii="楷体" w:hAnsi="楷体" w:eastAsia="楷体" w:cs="楷体"/>
          <w:sz w:val="24"/>
          <w:szCs w:val="24"/>
          <w:shd w:val="clear" w:color="auto" w:fill="FFFFFF"/>
        </w:rPr>
        <w:br w:type="page"/>
      </w:r>
    </w:p>
    <w:p>
      <w:pPr>
        <w:jc w:val="left"/>
        <w:rPr>
          <w:rFonts w:ascii="方正兰亭超细黑简体" w:hAnsi="方正兰亭超细黑简体" w:eastAsia="方正兰亭超细黑简体" w:cs="方正兰亭超细黑简体"/>
          <w:b/>
          <w:bCs/>
          <w:sz w:val="22"/>
          <w:szCs w:val="22"/>
        </w:rPr>
      </w:pPr>
      <w:r>
        <w:rPr>
          <w:rFonts w:hint="eastAsia" w:ascii="楷体" w:hAnsi="楷体" w:eastAsia="楷体" w:cs="楷体"/>
          <w:sz w:val="28"/>
          <w:szCs w:val="28"/>
          <w:shd w:val="clear" w:color="auto" w:fill="FFFFFF"/>
        </w:rPr>
        <w:t>附件1：</w:t>
      </w:r>
    </w:p>
    <w:p>
      <w:pPr>
        <w:jc w:val="center"/>
        <w:rPr>
          <w:rFonts w:ascii="方正兰亭超细黑简体" w:hAnsi="方正兰亭超细黑简体" w:eastAsia="方正兰亭超细黑简体" w:cs="方正兰亭超细黑简体"/>
          <w:b/>
          <w:bCs/>
          <w:sz w:val="24"/>
        </w:rPr>
      </w:pPr>
      <w:r>
        <w:rPr>
          <w:rFonts w:hint="eastAsia" w:ascii="方正兰亭超细黑简体" w:hAnsi="方正兰亭超细黑简体" w:eastAsia="方正兰亭超细黑简体" w:cs="方正兰亭超细黑简体"/>
          <w:b/>
          <w:bCs/>
          <w:sz w:val="24"/>
        </w:rPr>
        <w:t>吉首大学法学与公共管理学院“身边榜样，前行力量”报名表</w:t>
      </w:r>
    </w:p>
    <w:tbl>
      <w:tblPr>
        <w:tblStyle w:val="4"/>
        <w:tblpPr w:leftFromText="180" w:rightFromText="180" w:vertAnchor="text" w:horzAnchor="page" w:tblpX="1608" w:tblpY="288"/>
        <w:tblOverlap w:val="never"/>
        <w:tblW w:w="8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899"/>
        <w:gridCol w:w="1755"/>
        <w:gridCol w:w="2023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444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专业、班级</w:t>
            </w:r>
          </w:p>
        </w:tc>
        <w:tc>
          <w:tcPr>
            <w:tcW w:w="202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44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籍贯</w:t>
            </w: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年级</w:t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（本科/研究生）</w:t>
            </w:r>
          </w:p>
        </w:tc>
        <w:tc>
          <w:tcPr>
            <w:tcW w:w="202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90" w:firstLineChars="245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44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手机</w:t>
            </w: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电子邮箱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44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申请称号</w:t>
            </w:r>
          </w:p>
        </w:tc>
        <w:tc>
          <w:tcPr>
            <w:tcW w:w="7536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444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申请理由</w:t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/>
                <w:b/>
                <w:bCs/>
                <w:szCs w:val="21"/>
              </w:rPr>
              <w:t>00字以内）</w:t>
            </w:r>
          </w:p>
        </w:tc>
        <w:tc>
          <w:tcPr>
            <w:tcW w:w="7536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44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事迹材料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1500</w:t>
            </w:r>
            <w:r>
              <w:rPr>
                <w:rFonts w:hint="eastAsia"/>
                <w:b/>
                <w:bCs/>
                <w:szCs w:val="21"/>
              </w:rPr>
              <w:t>字，可附页）</w:t>
            </w:r>
          </w:p>
        </w:tc>
        <w:tc>
          <w:tcPr>
            <w:tcW w:w="7536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1444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团总支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意见</w:t>
            </w:r>
          </w:p>
        </w:tc>
        <w:tc>
          <w:tcPr>
            <w:tcW w:w="7536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1444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党委意见</w:t>
            </w:r>
          </w:p>
        </w:tc>
        <w:tc>
          <w:tcPr>
            <w:tcW w:w="7536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>
      <w:pPr>
        <w:jc w:val="left"/>
        <w:rPr>
          <w:rFonts w:hint="eastAsia" w:ascii="楷体" w:hAnsi="楷体" w:eastAsia="楷体" w:cs="楷体"/>
          <w:bCs/>
          <w:color w:val="000000"/>
          <w:sz w:val="28"/>
          <w:szCs w:val="28"/>
        </w:rPr>
      </w:pPr>
      <w:r>
        <w:rPr>
          <w:rFonts w:hint="eastAsia" w:ascii="楷体" w:hAnsi="楷体" w:eastAsia="楷体" w:cs="楷体"/>
          <w:bCs/>
          <w:color w:val="000000"/>
          <w:sz w:val="28"/>
          <w:szCs w:val="28"/>
        </w:rPr>
        <w:t>（此表填写时请注意格式统一）</w:t>
      </w:r>
    </w:p>
    <w:p>
      <w:pPr>
        <w:jc w:val="left"/>
        <w:rPr>
          <w:rFonts w:hint="eastAsia" w:ascii="楷体" w:hAnsi="楷体" w:eastAsia="楷体" w:cs="楷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sz w:val="28"/>
          <w:szCs w:val="28"/>
          <w:lang w:eastAsia="zh-CN"/>
        </w:rPr>
        <w:t>附件</w:t>
      </w:r>
      <w:r>
        <w:rPr>
          <w:rFonts w:hint="eastAsia" w:ascii="楷体" w:hAnsi="楷体" w:eastAsia="楷体" w:cs="楷体"/>
          <w:bCs/>
          <w:color w:val="000000"/>
          <w:sz w:val="28"/>
          <w:szCs w:val="28"/>
          <w:lang w:val="en-US" w:eastAsia="zh-CN"/>
        </w:rPr>
        <w:t>2：</w:t>
      </w:r>
    </w:p>
    <w:p>
      <w:pPr>
        <w:spacing w:line="440" w:lineRule="exact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学生临时（特殊）困难补助申请表</w:t>
      </w:r>
    </w:p>
    <w:tbl>
      <w:tblPr>
        <w:tblStyle w:val="4"/>
        <w:tblW w:w="9764" w:type="dxa"/>
        <w:jc w:val="center"/>
        <w:tblInd w:w="-27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251"/>
        <w:gridCol w:w="720"/>
        <w:gridCol w:w="713"/>
        <w:gridCol w:w="581"/>
        <w:gridCol w:w="871"/>
        <w:gridCol w:w="1260"/>
        <w:gridCol w:w="7"/>
        <w:gridCol w:w="1349"/>
        <w:gridCol w:w="15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家庭人口数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家庭总收入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收入来源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贷款、受助及奖励情况</w:t>
            </w:r>
          </w:p>
        </w:tc>
        <w:tc>
          <w:tcPr>
            <w:tcW w:w="8302" w:type="dxa"/>
            <w:gridSpan w:val="9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困难类别</w:t>
            </w:r>
          </w:p>
        </w:tc>
        <w:tc>
          <w:tcPr>
            <w:tcW w:w="8302" w:type="dxa"/>
            <w:gridSpan w:val="9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eastAsia="zh-CN"/>
              </w:rPr>
              <w:t>□就业困难</w:t>
            </w: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eastAsia="zh-CN"/>
              </w:rPr>
              <w:t>生活困难</w:t>
            </w: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eastAsia="zh-CN"/>
              </w:rPr>
              <w:t>□大病医疗补助</w:t>
            </w: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eastAsia="zh-CN"/>
              </w:rPr>
              <w:t>□勤工助学补助</w:t>
            </w: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Cs/>
                <w:color w:val="000000"/>
                <w:sz w:val="24"/>
                <w:szCs w:val="24"/>
                <w:lang w:eastAsia="zh-CN"/>
              </w:rPr>
              <w:t>□其他特殊情况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5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请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理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由</w:t>
            </w:r>
          </w:p>
        </w:tc>
        <w:tc>
          <w:tcPr>
            <w:tcW w:w="8302" w:type="dxa"/>
            <w:gridSpan w:val="9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4320" w:firstLineChars="18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6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辅导员意见</w:t>
            </w:r>
          </w:p>
        </w:tc>
        <w:tc>
          <w:tcPr>
            <w:tcW w:w="8302" w:type="dxa"/>
            <w:gridSpan w:val="9"/>
            <w:noWrap w:val="0"/>
            <w:vAlign w:val="bottom"/>
          </w:tcPr>
          <w:p>
            <w:pPr>
              <w:spacing w:line="440" w:lineRule="exact"/>
              <w:ind w:firstLine="720" w:firstLineChars="300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6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学工办意见</w:t>
            </w:r>
          </w:p>
        </w:tc>
        <w:tc>
          <w:tcPr>
            <w:tcW w:w="8302" w:type="dxa"/>
            <w:gridSpan w:val="9"/>
            <w:noWrap w:val="0"/>
            <w:vAlign w:val="bottom"/>
          </w:tcPr>
          <w:p>
            <w:pPr>
              <w:spacing w:line="440" w:lineRule="exact"/>
              <w:ind w:firstLine="720" w:firstLineChars="300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盖章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党委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8302" w:type="dxa"/>
            <w:gridSpan w:val="9"/>
            <w:noWrap w:val="0"/>
            <w:vAlign w:val="bottom"/>
          </w:tcPr>
          <w:p>
            <w:pPr>
              <w:spacing w:line="440" w:lineRule="exact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440" w:lineRule="exact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720" w:firstLineChars="300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               单位公章                  年     月    日</w:t>
            </w:r>
          </w:p>
        </w:tc>
      </w:tr>
    </w:tbl>
    <w:p>
      <w:pPr>
        <w:ind w:left="2205" w:leftChars="-300" w:hanging="2835" w:hangingChars="1350"/>
        <w:rPr>
          <w:rFonts w:hint="eastAsia"/>
        </w:rPr>
      </w:pPr>
      <w:r>
        <w:rPr>
          <w:rFonts w:hint="eastAsia"/>
        </w:rPr>
        <w:t>注：用</w:t>
      </w:r>
      <w:r>
        <w:t>A4</w:t>
      </w:r>
      <w:r>
        <w:rPr>
          <w:rFonts w:hint="eastAsia"/>
        </w:rPr>
        <w:t>纸打印，此表格一式二份（一份</w:t>
      </w:r>
      <w:r>
        <w:rPr>
          <w:rFonts w:hint="eastAsia"/>
          <w:lang w:eastAsia="zh-CN"/>
        </w:rPr>
        <w:t>学院</w:t>
      </w:r>
      <w:r>
        <w:rPr>
          <w:rFonts w:hint="eastAsia"/>
        </w:rPr>
        <w:t>留存，一份交财务处领款）。</w:t>
      </w:r>
    </w:p>
    <w:p>
      <w:pPr>
        <w:jc w:val="left"/>
        <w:rPr>
          <w:rFonts w:hint="default" w:ascii="楷体" w:hAnsi="楷体" w:eastAsia="楷体" w:cs="楷体"/>
          <w:bCs/>
          <w:color w:val="000000"/>
          <w:sz w:val="28"/>
          <w:szCs w:val="28"/>
          <w:lang w:val="en-US" w:eastAsia="zh-CN"/>
        </w:rPr>
      </w:pPr>
    </w:p>
    <w:p>
      <w:pPr>
        <w:jc w:val="left"/>
        <w:rPr>
          <w:rFonts w:hint="eastAsia" w:ascii="楷体" w:hAnsi="楷体" w:eastAsia="楷体" w:cs="楷体"/>
          <w:bCs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2C59BB"/>
    <w:multiLevelType w:val="singleLevel"/>
    <w:tmpl w:val="CF2C59BB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332D1373"/>
    <w:multiLevelType w:val="singleLevel"/>
    <w:tmpl w:val="332D1373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B11AC"/>
    <w:rsid w:val="00142BF3"/>
    <w:rsid w:val="002F2F20"/>
    <w:rsid w:val="006E7D67"/>
    <w:rsid w:val="00783F27"/>
    <w:rsid w:val="00C83371"/>
    <w:rsid w:val="00CB11AC"/>
    <w:rsid w:val="00F0254E"/>
    <w:rsid w:val="07426472"/>
    <w:rsid w:val="089C1652"/>
    <w:rsid w:val="10BE3371"/>
    <w:rsid w:val="15D108FA"/>
    <w:rsid w:val="1BFC2585"/>
    <w:rsid w:val="208A57A8"/>
    <w:rsid w:val="25F17557"/>
    <w:rsid w:val="2C94674D"/>
    <w:rsid w:val="307B0E25"/>
    <w:rsid w:val="35CA5C18"/>
    <w:rsid w:val="400A7331"/>
    <w:rsid w:val="434358B9"/>
    <w:rsid w:val="4B907D14"/>
    <w:rsid w:val="4DF34B6B"/>
    <w:rsid w:val="50B32E96"/>
    <w:rsid w:val="53571F26"/>
    <w:rsid w:val="57FC069B"/>
    <w:rsid w:val="63E22AC9"/>
    <w:rsid w:val="67696BAD"/>
    <w:rsid w:val="695D515D"/>
    <w:rsid w:val="77FE50E4"/>
    <w:rsid w:val="789B34C5"/>
    <w:rsid w:val="7934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_59b34049-55d4-45eb-838f-3304db016880"/>
    <w:basedOn w:val="1"/>
    <w:qFormat/>
    <w:uiPriority w:val="99"/>
    <w:pPr>
      <w:ind w:firstLine="420" w:firstLineChars="200"/>
    </w:p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FB1DD8-8774-4755-B45D-B832CBCD94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447</Words>
  <Characters>2551</Characters>
  <Lines>21</Lines>
  <Paragraphs>5</Paragraphs>
  <TotalTime>13</TotalTime>
  <ScaleCrop>false</ScaleCrop>
  <LinksUpToDate>false</LinksUpToDate>
  <CharactersWithSpaces>2993</CharactersWithSpaces>
  <Application>WPS Office_11.1.0.8751_F1E327BC-269C-435d-A152-05C5408002CA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2016-10-15T05:35:00Z</dcterms:created>
  <dc:creator>S41B</dc:creator>
  <cp:lastModifiedBy>○丶倩寳灬</cp:lastModifiedBy>
  <cp:lastPrinted>2019-06-10T03:49:00Z</cp:lastPrinted>
  <dcterms:modified xsi:type="dcterms:W3CDTF">2019-06-11T01:20:25Z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2052-11.1.0.8751</vt:lpwstr>
  </property>
</Properties>
</file>